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32EF"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Assistant Teaching Professor in French</w:t>
      </w:r>
      <w:r w:rsidRPr="00803F56">
        <w:rPr>
          <w:rFonts w:ascii="Times New Roman" w:hAnsi="Times New Roman" w:cs="Times New Roman"/>
        </w:rPr>
        <w:t> </w:t>
      </w:r>
    </w:p>
    <w:p w14:paraId="11B5DE7B"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Department of Languages, Literatures, and Cultures</w:t>
      </w:r>
      <w:r w:rsidRPr="00803F56">
        <w:rPr>
          <w:rFonts w:ascii="Times New Roman" w:hAnsi="Times New Roman" w:cs="Times New Roman"/>
        </w:rPr>
        <w:t> </w:t>
      </w:r>
    </w:p>
    <w:p w14:paraId="0924DE7E"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College of Liberal Arts</w:t>
      </w:r>
      <w:r w:rsidRPr="00803F56">
        <w:rPr>
          <w:rFonts w:ascii="Times New Roman" w:hAnsi="Times New Roman" w:cs="Times New Roman"/>
        </w:rPr>
        <w:t> </w:t>
      </w:r>
    </w:p>
    <w:p w14:paraId="66783806"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CLA-3921L </w:t>
      </w:r>
      <w:r w:rsidRPr="00803F56">
        <w:rPr>
          <w:rFonts w:ascii="Times New Roman" w:hAnsi="Times New Roman" w:cs="Times New Roman"/>
        </w:rPr>
        <w:t> </w:t>
      </w:r>
    </w:p>
    <w:p w14:paraId="2D0A3D7C"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7CE588D2"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Position:</w:t>
      </w:r>
      <w:r w:rsidRPr="00803F56">
        <w:rPr>
          <w:rFonts w:ascii="Times New Roman" w:hAnsi="Times New Roman" w:cs="Times New Roman"/>
        </w:rPr>
        <w:t> </w:t>
      </w:r>
    </w:p>
    <w:p w14:paraId="0CBEEB22"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The College of Liberal Arts of Towson University invites applications for a 9-month Assistant Teaching Professor position in French in the Department of Languages, Literatures, and Cultures. Preferred start date is August 2026. </w:t>
      </w:r>
    </w:p>
    <w:p w14:paraId="134F4129"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62837226"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Qualifications:</w:t>
      </w:r>
      <w:r w:rsidRPr="00803F56">
        <w:rPr>
          <w:rFonts w:ascii="Times New Roman" w:hAnsi="Times New Roman" w:cs="Times New Roman"/>
        </w:rPr>
        <w:t> </w:t>
      </w:r>
    </w:p>
    <w:p w14:paraId="67BEF4BE"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PhD in French or related field is required. ABD candidates will be considered. Near-native proficiency in French required. TU cannot sponsor any visa for this position. </w:t>
      </w:r>
    </w:p>
    <w:p w14:paraId="23C00E2B"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19EC45BD"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Responsibilities:</w:t>
      </w:r>
      <w:r w:rsidRPr="00803F56">
        <w:rPr>
          <w:rFonts w:ascii="Times New Roman" w:hAnsi="Times New Roman" w:cs="Times New Roman"/>
        </w:rPr>
        <w:t> </w:t>
      </w:r>
    </w:p>
    <w:p w14:paraId="183C2D64"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The lecturer will be assigned an instructional workload of four (4) courses of first-year French per semester for academic year 2026-2027. Minimal additional service responsibilities. </w:t>
      </w:r>
    </w:p>
    <w:p w14:paraId="57A624FA"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1BE567E2"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The Department and Program:</w:t>
      </w:r>
      <w:r w:rsidRPr="00803F56">
        <w:rPr>
          <w:rFonts w:ascii="Times New Roman" w:hAnsi="Times New Roman" w:cs="Times New Roman"/>
        </w:rPr>
        <w:t> </w:t>
      </w:r>
    </w:p>
    <w:p w14:paraId="4ACF1381"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The Department of Languages, Literatures, and Cultures (LLC) currently </w:t>
      </w:r>
      <w:proofErr w:type="gramStart"/>
      <w:r w:rsidRPr="00803F56">
        <w:rPr>
          <w:rFonts w:ascii="Times New Roman" w:hAnsi="Times New Roman" w:cs="Times New Roman"/>
        </w:rPr>
        <w:t>has</w:t>
      </w:r>
      <w:proofErr w:type="gramEnd"/>
      <w:r w:rsidRPr="00803F56">
        <w:rPr>
          <w:rFonts w:ascii="Times New Roman" w:hAnsi="Times New Roman" w:cs="Times New Roman"/>
        </w:rPr>
        <w:t> 22 full-time faculty members who teach over 350 majors and minors. The department offers courses in 11 languages. Students may major either in Foreign Languages, with a concentration in French, French Secondary Education, Spanish, or Spanish Secondary Education, or in Deaf Studies. The department also offers a minor in eight different languages, including French, and offers a minor in Linguistics.  </w:t>
      </w:r>
    </w:p>
    <w:p w14:paraId="052C23DE"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0968B3A0"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Towson University:</w:t>
      </w:r>
      <w:r w:rsidRPr="00803F56">
        <w:rPr>
          <w:rFonts w:ascii="Times New Roman" w:hAnsi="Times New Roman" w:cs="Times New Roman"/>
        </w:rPr>
        <w:t> </w:t>
      </w:r>
    </w:p>
    <w:p w14:paraId="10BFA88A"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Towson University (</w:t>
      </w:r>
      <w:hyperlink r:id="rId5" w:tgtFrame="_blank" w:history="1">
        <w:r w:rsidRPr="00803F56">
          <w:rPr>
            <w:rStyle w:val="Hyperlink"/>
            <w:rFonts w:ascii="Times New Roman" w:hAnsi="Times New Roman" w:cs="Times New Roman"/>
          </w:rPr>
          <w:t>www.towson.edu</w:t>
        </w:r>
      </w:hyperlink>
      <w:r w:rsidRPr="00803F56">
        <w:rPr>
          <w:rFonts w:ascii="Times New Roman" w:hAnsi="Times New Roman" w:cs="Times New Roman"/>
        </w:rPr>
        <w:t xml:space="preserve">) was founded in 1866, is recognized by U.S. News and World Reports as one of the top public universities in the Northeast and Mid-Atlantic regions, is Baltimore’s largest university, and is the largest public, comprehensive institution in the University of Maryland System. TU enrolls over 19,000 undergraduates and more than 3,000 graduate students across six academic colleges (business, education, fine arts, health professions, liberal arts, science &amp; mathematics), </w:t>
      </w:r>
      <w:proofErr w:type="gramStart"/>
      <w:r w:rsidRPr="00803F56">
        <w:rPr>
          <w:rFonts w:ascii="Times New Roman" w:hAnsi="Times New Roman" w:cs="Times New Roman"/>
        </w:rPr>
        <w:t>has of</w:t>
      </w:r>
      <w:proofErr w:type="gramEnd"/>
      <w:r w:rsidRPr="00803F56">
        <w:rPr>
          <w:rFonts w:ascii="Times New Roman" w:hAnsi="Times New Roman" w:cs="Times New Roman"/>
        </w:rPr>
        <w:t xml:space="preserve"> 900 full-time faculty, and offers 65 bachelor’s 42 master’s, and 4 doctoral programs. Our centrally located campus sits on 330 rolling green acres and is 10 miles north of Baltimore, 45 miles north of Washington D.C., and 95 miles south of Philadelphia. </w:t>
      </w:r>
    </w:p>
    <w:p w14:paraId="23B17E71"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6B4C7364"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Application Process:</w:t>
      </w:r>
      <w:r w:rsidRPr="00803F56">
        <w:rPr>
          <w:rFonts w:ascii="Times New Roman" w:hAnsi="Times New Roman" w:cs="Times New Roman"/>
        </w:rPr>
        <w:t> </w:t>
      </w:r>
    </w:p>
    <w:p w14:paraId="6EF3A1F6"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Deadline for receipt of applications is June 3, 2026. Review of applications begins immediately and continues until the position is filled. Materials should include: </w:t>
      </w:r>
    </w:p>
    <w:p w14:paraId="13994418"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79D60B95" w14:textId="77777777" w:rsidR="00803F56" w:rsidRPr="00803F56" w:rsidRDefault="00803F56" w:rsidP="00803F56">
      <w:pPr>
        <w:numPr>
          <w:ilvl w:val="0"/>
          <w:numId w:val="1"/>
        </w:numPr>
        <w:spacing w:after="0" w:line="240" w:lineRule="auto"/>
        <w:rPr>
          <w:rFonts w:ascii="Times New Roman" w:hAnsi="Times New Roman" w:cs="Times New Roman"/>
        </w:rPr>
      </w:pPr>
      <w:r w:rsidRPr="00803F56">
        <w:rPr>
          <w:rFonts w:ascii="Times New Roman" w:hAnsi="Times New Roman" w:cs="Times New Roman"/>
        </w:rPr>
        <w:t>Letter of application </w:t>
      </w:r>
    </w:p>
    <w:p w14:paraId="23873C2E" w14:textId="77777777" w:rsidR="00803F56" w:rsidRPr="00803F56" w:rsidRDefault="00803F56" w:rsidP="00803F56">
      <w:pPr>
        <w:numPr>
          <w:ilvl w:val="0"/>
          <w:numId w:val="2"/>
        </w:numPr>
        <w:spacing w:after="0" w:line="240" w:lineRule="auto"/>
        <w:rPr>
          <w:rFonts w:ascii="Times New Roman" w:hAnsi="Times New Roman" w:cs="Times New Roman"/>
        </w:rPr>
      </w:pPr>
      <w:r w:rsidRPr="00803F56">
        <w:rPr>
          <w:rFonts w:ascii="Times New Roman" w:hAnsi="Times New Roman" w:cs="Times New Roman"/>
        </w:rPr>
        <w:t>Curriculum vitae </w:t>
      </w:r>
    </w:p>
    <w:p w14:paraId="161C7DAA" w14:textId="77777777" w:rsidR="00803F56" w:rsidRPr="00803F56" w:rsidRDefault="00803F56" w:rsidP="00803F56">
      <w:pPr>
        <w:numPr>
          <w:ilvl w:val="0"/>
          <w:numId w:val="3"/>
        </w:numPr>
        <w:spacing w:after="0" w:line="240" w:lineRule="auto"/>
        <w:rPr>
          <w:rFonts w:ascii="Times New Roman" w:hAnsi="Times New Roman" w:cs="Times New Roman"/>
        </w:rPr>
      </w:pPr>
      <w:r w:rsidRPr="00803F56">
        <w:rPr>
          <w:rFonts w:ascii="Times New Roman" w:hAnsi="Times New Roman" w:cs="Times New Roman"/>
        </w:rPr>
        <w:t>Sample 100-level/beginner language syllabus + lesson plan </w:t>
      </w:r>
    </w:p>
    <w:p w14:paraId="5E0DAB23" w14:textId="77777777" w:rsidR="00803F56" w:rsidRPr="00803F56" w:rsidRDefault="00803F56" w:rsidP="00803F56">
      <w:pPr>
        <w:numPr>
          <w:ilvl w:val="0"/>
          <w:numId w:val="4"/>
        </w:numPr>
        <w:spacing w:after="0" w:line="240" w:lineRule="auto"/>
        <w:rPr>
          <w:rFonts w:ascii="Times New Roman" w:hAnsi="Times New Roman" w:cs="Times New Roman"/>
        </w:rPr>
      </w:pPr>
      <w:r w:rsidRPr="00803F56">
        <w:rPr>
          <w:rFonts w:ascii="Times New Roman" w:hAnsi="Times New Roman" w:cs="Times New Roman"/>
        </w:rPr>
        <w:t>Three letters of recommendation </w:t>
      </w:r>
    </w:p>
    <w:p w14:paraId="4D6B4963"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27EB357B" w14:textId="19BFB42A"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lastRenderedPageBreak/>
        <w:t>Click </w:t>
      </w:r>
      <w:hyperlink r:id="rId6" w:history="1">
        <w:r w:rsidRPr="0080674A">
          <w:rPr>
            <w:rStyle w:val="Hyperlink"/>
            <w:rFonts w:ascii="Times New Roman" w:hAnsi="Times New Roman" w:cs="Times New Roman"/>
          </w:rPr>
          <w:t>here</w:t>
        </w:r>
      </w:hyperlink>
      <w:r w:rsidRPr="00803F56">
        <w:rPr>
          <w:rFonts w:ascii="Times New Roman" w:hAnsi="Times New Roman" w:cs="Times New Roman"/>
        </w:rPr>
        <w:t> to apply. Please note that the search number for which you have applied is CLA-3921L. </w:t>
      </w:r>
    </w:p>
    <w:p w14:paraId="056F7359"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1FA8D1A2"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Please be sure to visit the Applicant Data Form to complete a voluntary on-line form. All data collected </w:t>
      </w:r>
      <w:proofErr w:type="gramStart"/>
      <w:r w:rsidRPr="00803F56">
        <w:rPr>
          <w:rFonts w:ascii="Times New Roman" w:hAnsi="Times New Roman" w:cs="Times New Roman"/>
        </w:rPr>
        <w:t>are</w:t>
      </w:r>
      <w:proofErr w:type="gramEnd"/>
      <w:r w:rsidRPr="00803F56">
        <w:rPr>
          <w:rFonts w:ascii="Times New Roman" w:hAnsi="Times New Roman" w:cs="Times New Roman"/>
        </w:rPr>
        <w:t> for internal, state, and/or federal reporting and will not be used for other purposes. </w:t>
      </w:r>
    </w:p>
    <w:p w14:paraId="2A7F0573"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6600DF32"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Salary and Benefits:</w:t>
      </w:r>
      <w:r w:rsidRPr="00803F56">
        <w:rPr>
          <w:rFonts w:ascii="Times New Roman" w:hAnsi="Times New Roman" w:cs="Times New Roman"/>
        </w:rPr>
        <w:t> </w:t>
      </w:r>
    </w:p>
    <w:p w14:paraId="4A7F79E0"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Targeted salary range: $52,000-$53,000 </w:t>
      </w:r>
    </w:p>
    <w:p w14:paraId="177351C1"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3E14289D"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Benefits:</w:t>
      </w:r>
      <w:r w:rsidRPr="00803F56">
        <w:rPr>
          <w:rFonts w:ascii="Times New Roman" w:hAnsi="Times New Roman" w:cs="Times New Roman"/>
        </w:rPr>
        <w:t> TU offers a comprehensive benefits package that includes excellent health, life and retirement plans; and tuition remission. To learn more about our benefits, click </w:t>
      </w:r>
      <w:hyperlink r:id="rId7" w:tgtFrame="_blank" w:history="1">
        <w:r w:rsidRPr="00803F56">
          <w:rPr>
            <w:rStyle w:val="Hyperlink"/>
            <w:rFonts w:ascii="Times New Roman" w:hAnsi="Times New Roman" w:cs="Times New Roman"/>
          </w:rPr>
          <w:t>here</w:t>
        </w:r>
      </w:hyperlink>
      <w:r w:rsidRPr="00803F56">
        <w:rPr>
          <w:rFonts w:ascii="Times New Roman" w:hAnsi="Times New Roman" w:cs="Times New Roman"/>
        </w:rPr>
        <w:t> for regular faculty/teaching professor or </w:t>
      </w:r>
      <w:hyperlink r:id="rId8" w:tgtFrame="_blank" w:history="1">
        <w:r w:rsidRPr="00803F56">
          <w:rPr>
            <w:rStyle w:val="Hyperlink"/>
            <w:rFonts w:ascii="Times New Roman" w:hAnsi="Times New Roman" w:cs="Times New Roman"/>
          </w:rPr>
          <w:t>here</w:t>
        </w:r>
      </w:hyperlink>
      <w:r w:rsidRPr="00803F56">
        <w:rPr>
          <w:rFonts w:ascii="Times New Roman" w:hAnsi="Times New Roman" w:cs="Times New Roman"/>
        </w:rPr>
        <w:t> for contingent teaching professor. TU also offers a variety of great perks and discounts, which can be found </w:t>
      </w:r>
      <w:hyperlink r:id="rId9" w:tgtFrame="_blank" w:history="1">
        <w:r w:rsidRPr="00803F56">
          <w:rPr>
            <w:rStyle w:val="Hyperlink"/>
            <w:rFonts w:ascii="Times New Roman" w:hAnsi="Times New Roman" w:cs="Times New Roman"/>
          </w:rPr>
          <w:t>here.</w:t>
        </w:r>
      </w:hyperlink>
      <w:r w:rsidRPr="00803F56">
        <w:rPr>
          <w:rFonts w:ascii="Times New Roman" w:hAnsi="Times New Roman" w:cs="Times New Roman"/>
        </w:rPr>
        <w:t> </w:t>
      </w:r>
    </w:p>
    <w:p w14:paraId="53659D8A" w14:textId="1BFB7255"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7C599E61"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Background Check:</w:t>
      </w:r>
      <w:r w:rsidRPr="00803F56">
        <w:rPr>
          <w:rFonts w:ascii="Times New Roman" w:hAnsi="Times New Roman" w:cs="Times New Roman"/>
        </w:rPr>
        <w:t> </w:t>
      </w:r>
    </w:p>
    <w:p w14:paraId="151DFAFC"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A Criminal Background Investigation is required for the hired </w:t>
      </w:r>
      <w:proofErr w:type="gramStart"/>
      <w:r w:rsidRPr="00803F56">
        <w:rPr>
          <w:rFonts w:ascii="Times New Roman" w:hAnsi="Times New Roman" w:cs="Times New Roman"/>
        </w:rPr>
        <w:t>candidate</w:t>
      </w:r>
      <w:proofErr w:type="gramEnd"/>
      <w:r w:rsidRPr="00803F56">
        <w:rPr>
          <w:rFonts w:ascii="Times New Roman" w:hAnsi="Times New Roman" w:cs="Times New Roman"/>
        </w:rPr>
        <w:t> and the results may impact employment. </w:t>
      </w:r>
    </w:p>
    <w:p w14:paraId="3A323FE2"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34C98CA1"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b/>
          <w:bCs/>
        </w:rPr>
        <w:t>Covid-19 Statement:</w:t>
      </w:r>
      <w:r w:rsidRPr="00803F56">
        <w:rPr>
          <w:rFonts w:ascii="Times New Roman" w:hAnsi="Times New Roman" w:cs="Times New Roman"/>
        </w:rPr>
        <w:t> </w:t>
      </w:r>
    </w:p>
    <w:p w14:paraId="3324D9ED"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The safety of our students, faculty, staff, and neighbors has been our top priority and the focus of every one of our decisions since the earliest days of the COVID-19 pandemic. Therefore, the University System of Maryland (USM) has </w:t>
      </w:r>
      <w:r w:rsidRPr="00803F56">
        <w:rPr>
          <w:rFonts w:ascii="Times New Roman" w:hAnsi="Times New Roman" w:cs="Times New Roman"/>
          <w:i/>
          <w:iCs/>
        </w:rPr>
        <w:t>strongly encouraged</w:t>
      </w:r>
      <w:r w:rsidRPr="00803F56">
        <w:rPr>
          <w:rFonts w:ascii="Times New Roman" w:hAnsi="Times New Roman" w:cs="Times New Roman"/>
        </w:rPr>
        <w:t> full COVID vaccination and up-to-date booster shots (when eligible) for all faculty, staff, and students at all schools in the USM as both a reasonable and necessary means of protecting our health and safety. </w:t>
      </w:r>
    </w:p>
    <w:p w14:paraId="27C91FFB" w14:textId="77777777" w:rsidR="00803F56" w:rsidRPr="00803F56" w:rsidRDefault="00803F56" w:rsidP="00803F56">
      <w:pPr>
        <w:spacing w:after="0" w:line="240" w:lineRule="auto"/>
        <w:rPr>
          <w:rFonts w:ascii="Times New Roman" w:hAnsi="Times New Roman" w:cs="Times New Roman"/>
        </w:rPr>
      </w:pPr>
      <w:r w:rsidRPr="00803F56">
        <w:rPr>
          <w:rFonts w:ascii="Times New Roman" w:hAnsi="Times New Roman" w:cs="Times New Roman"/>
        </w:rPr>
        <w:t> </w:t>
      </w:r>
    </w:p>
    <w:p w14:paraId="4E8A51CC" w14:textId="77777777" w:rsidR="00871716" w:rsidRDefault="00871716"/>
    <w:sectPr w:rsidR="00871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2E28"/>
    <w:multiLevelType w:val="multilevel"/>
    <w:tmpl w:val="D01A0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62B57"/>
    <w:multiLevelType w:val="multilevel"/>
    <w:tmpl w:val="B7665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E417DD"/>
    <w:multiLevelType w:val="multilevel"/>
    <w:tmpl w:val="6ABE7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FB3A2E"/>
    <w:multiLevelType w:val="multilevel"/>
    <w:tmpl w:val="48962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7232380">
    <w:abstractNumId w:val="1"/>
  </w:num>
  <w:num w:numId="2" w16cid:durableId="393434044">
    <w:abstractNumId w:val="2"/>
  </w:num>
  <w:num w:numId="3" w16cid:durableId="1573080135">
    <w:abstractNumId w:val="0"/>
  </w:num>
  <w:num w:numId="4" w16cid:durableId="176287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56"/>
    <w:rsid w:val="0001507A"/>
    <w:rsid w:val="002E6AA1"/>
    <w:rsid w:val="00531966"/>
    <w:rsid w:val="00803F56"/>
    <w:rsid w:val="0080674A"/>
    <w:rsid w:val="00871716"/>
    <w:rsid w:val="00A10C86"/>
    <w:rsid w:val="00D3206C"/>
    <w:rsid w:val="00F0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0026"/>
  <w15:chartTrackingRefBased/>
  <w15:docId w15:val="{B3865545-D95A-4F76-81D2-7B12AB18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F56"/>
    <w:rPr>
      <w:rFonts w:eastAsiaTheme="majorEastAsia" w:cstheme="majorBidi"/>
      <w:color w:val="272727" w:themeColor="text1" w:themeTint="D8"/>
    </w:rPr>
  </w:style>
  <w:style w:type="paragraph" w:styleId="Title">
    <w:name w:val="Title"/>
    <w:basedOn w:val="Normal"/>
    <w:next w:val="Normal"/>
    <w:link w:val="TitleChar"/>
    <w:uiPriority w:val="10"/>
    <w:qFormat/>
    <w:rsid w:val="00803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F56"/>
    <w:pPr>
      <w:spacing w:before="160"/>
      <w:jc w:val="center"/>
    </w:pPr>
    <w:rPr>
      <w:i/>
      <w:iCs/>
      <w:color w:val="404040" w:themeColor="text1" w:themeTint="BF"/>
    </w:rPr>
  </w:style>
  <w:style w:type="character" w:customStyle="1" w:styleId="QuoteChar">
    <w:name w:val="Quote Char"/>
    <w:basedOn w:val="DefaultParagraphFont"/>
    <w:link w:val="Quote"/>
    <w:uiPriority w:val="29"/>
    <w:rsid w:val="00803F56"/>
    <w:rPr>
      <w:i/>
      <w:iCs/>
      <w:color w:val="404040" w:themeColor="text1" w:themeTint="BF"/>
    </w:rPr>
  </w:style>
  <w:style w:type="paragraph" w:styleId="ListParagraph">
    <w:name w:val="List Paragraph"/>
    <w:basedOn w:val="Normal"/>
    <w:uiPriority w:val="34"/>
    <w:qFormat/>
    <w:rsid w:val="00803F56"/>
    <w:pPr>
      <w:ind w:left="720"/>
      <w:contextualSpacing/>
    </w:pPr>
  </w:style>
  <w:style w:type="character" w:styleId="IntenseEmphasis">
    <w:name w:val="Intense Emphasis"/>
    <w:basedOn w:val="DefaultParagraphFont"/>
    <w:uiPriority w:val="21"/>
    <w:qFormat/>
    <w:rsid w:val="00803F56"/>
    <w:rPr>
      <w:i/>
      <w:iCs/>
      <w:color w:val="0F4761" w:themeColor="accent1" w:themeShade="BF"/>
    </w:rPr>
  </w:style>
  <w:style w:type="paragraph" w:styleId="IntenseQuote">
    <w:name w:val="Intense Quote"/>
    <w:basedOn w:val="Normal"/>
    <w:next w:val="Normal"/>
    <w:link w:val="IntenseQuoteChar"/>
    <w:uiPriority w:val="30"/>
    <w:qFormat/>
    <w:rsid w:val="00803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F56"/>
    <w:rPr>
      <w:i/>
      <w:iCs/>
      <w:color w:val="0F4761" w:themeColor="accent1" w:themeShade="BF"/>
    </w:rPr>
  </w:style>
  <w:style w:type="character" w:styleId="IntenseReference">
    <w:name w:val="Intense Reference"/>
    <w:basedOn w:val="DefaultParagraphFont"/>
    <w:uiPriority w:val="32"/>
    <w:qFormat/>
    <w:rsid w:val="00803F56"/>
    <w:rPr>
      <w:b/>
      <w:bCs/>
      <w:smallCaps/>
      <w:color w:val="0F4761" w:themeColor="accent1" w:themeShade="BF"/>
      <w:spacing w:val="5"/>
    </w:rPr>
  </w:style>
  <w:style w:type="character" w:styleId="Hyperlink">
    <w:name w:val="Hyperlink"/>
    <w:basedOn w:val="DefaultParagraphFont"/>
    <w:uiPriority w:val="99"/>
    <w:unhideWhenUsed/>
    <w:rsid w:val="00803F56"/>
    <w:rPr>
      <w:color w:val="467886" w:themeColor="hyperlink"/>
      <w:u w:val="single"/>
    </w:rPr>
  </w:style>
  <w:style w:type="character" w:styleId="UnresolvedMention">
    <w:name w:val="Unresolved Mention"/>
    <w:basedOn w:val="DefaultParagraphFont"/>
    <w:uiPriority w:val="99"/>
    <w:semiHidden/>
    <w:unhideWhenUsed/>
    <w:rsid w:val="00803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son.edu/hr/documents/benefits_summary_contingent_teaching_professor.pdf" TargetMode="External"/><Relationship Id="rId3" Type="http://schemas.openxmlformats.org/officeDocument/2006/relationships/settings" Target="settings.xml"/><Relationship Id="rId7" Type="http://schemas.openxmlformats.org/officeDocument/2006/relationships/hyperlink" Target="https://www.towson.edu/hr/documents/benefits_summary_regular_facul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wson.taleo.net/careersection/fac_ex/jobdetail.ftl?job=260000CG" TargetMode="External"/><Relationship Id="rId11" Type="http://schemas.openxmlformats.org/officeDocument/2006/relationships/theme" Target="theme/theme1.xml"/><Relationship Id="rId5" Type="http://schemas.openxmlformats.org/officeDocument/2006/relationships/hyperlink" Target="http://www.towso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wson.edu/hr/current/benefits/perks-discou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621</Words>
  <Characters>3541</Characters>
  <Application>Microsoft Office Word</Application>
  <DocSecurity>0</DocSecurity>
  <Lines>29</Lines>
  <Paragraphs>8</Paragraphs>
  <ScaleCrop>false</ScaleCrop>
  <Company>Towson University</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Rohrbaugh, Wendy R.</dc:creator>
  <cp:keywords/>
  <dc:description/>
  <cp:lastModifiedBy>Rohrbaugh, Wendy R.</cp:lastModifiedBy>
  <cp:revision>2</cp:revision>
  <dcterms:created xsi:type="dcterms:W3CDTF">2026-05-07T15:45:00Z</dcterms:created>
  <dcterms:modified xsi:type="dcterms:W3CDTF">2026-05-15T14:46:00Z</dcterms:modified>
</cp:coreProperties>
</file>